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Style w:val="cat-Dategrp-1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Елены Валерьевны, </w:t>
      </w:r>
      <w:r>
        <w:rPr>
          <w:rStyle w:val="cat-UserDefinedgrp-57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конкурсным управляющим </w:t>
      </w:r>
      <w:r>
        <w:rPr>
          <w:rStyle w:val="cat-OrganizationNamegrp-44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не предоставил сведения о застрахованных лицах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 СЗВ-СТАЖ за </w:t>
      </w:r>
      <w:r>
        <w:rPr>
          <w:rStyle w:val="cat-Dategrp-1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несоответствие представленных форм СЗВ-М. </w:t>
      </w:r>
      <w:r>
        <w:rPr>
          <w:rStyle w:val="cat-Dategrp-1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Style w:val="cat-Dategrp-1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2.2 ст. 11 Федерального Закона от </w:t>
      </w:r>
      <w:r>
        <w:rPr>
          <w:rStyle w:val="cat-Dategrp-1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заседании вину не признала, указала на то,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требований пенсионного фонда об электронном обмене документами она направила заявление о подключении к электронному документообороту, а также </w:t>
      </w:r>
      <w:r>
        <w:rPr>
          <w:rStyle w:val="cat-Dategrp-1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сообщила в пенсионный фонд что такой документооборот осуществляется через копанию «Тензор»,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тот же день пенсионный фонд сообщил ей о согласии осуществлять документооборот через </w:t>
      </w:r>
      <w:r>
        <w:rPr>
          <w:rStyle w:val="cat-OrganizationNamegrp-45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возможностей осуществления документооборота в ином порядке законодательство не предусматривает;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уведомление, направленное пенсионным фондом </w:t>
      </w:r>
      <w:r>
        <w:rPr>
          <w:rStyle w:val="cat-Dategrp-2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транспортный сервер не поступало, что также подтверждено </w:t>
      </w:r>
      <w:r>
        <w:rPr>
          <w:rStyle w:val="cat-OrganizationNamegrp-45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таким образом, о направлении требования пенсионного фонда она не знала; заявила о приобщении к материалам дела: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 ХМАО-Югры по делу № А75-7180/2022, заявление от </w:t>
      </w:r>
      <w:r>
        <w:rPr>
          <w:rStyle w:val="cat-Dategrp-19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подключение страхователя к электронному документообороту СФР, письмо </w:t>
      </w:r>
      <w:r>
        <w:rPr>
          <w:rStyle w:val="cat-OrganizationNamegrp-46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22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1122273</w:t>
      </w:r>
      <w:r>
        <w:rPr>
          <w:rFonts w:ascii="Times New Roman" w:eastAsia="Times New Roman" w:hAnsi="Times New Roman" w:cs="Times New Roman"/>
          <w:sz w:val="28"/>
          <w:szCs w:val="28"/>
        </w:rPr>
        <w:t>, иных ходатайств не заявляла.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ч. 1 ст. 25.1 КоАП РФ, а также в целях полного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всестороннего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считает возможным удовлетворить заявленное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приобщить к материалам дела: решение от </w:t>
      </w:r>
      <w:r>
        <w:rPr>
          <w:rStyle w:val="cat-Dategrp-21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 ХМАО-Югры по делу № А75-7180/2022, заявление от </w:t>
      </w:r>
      <w:r>
        <w:rPr>
          <w:rStyle w:val="cat-Dategrp-19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подключение страхователя к электронному документообороту СФР, письмо </w:t>
      </w:r>
      <w:r>
        <w:rPr>
          <w:rStyle w:val="cat-OrganizationNamegrp-46rplc-3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22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1122273.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пришел к следующим выводам.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наступает за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частью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от трехсот до </w:t>
      </w:r>
      <w:r>
        <w:rPr>
          <w:rStyle w:val="cat-SumInWordsgrp-40rplc-35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 2 ст. 11 Федерального Закона от </w:t>
      </w:r>
      <w:r>
        <w:rPr>
          <w:rStyle w:val="cat-Dategrp-23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индивидуальном (персонифицированном) учете в системе обязательного пенсионного страхования» (с изменениями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дополнениями),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страхователь ежегодно не позднее </w:t>
      </w:r>
      <w:r>
        <w:rPr>
          <w:rStyle w:val="cat-Dategrp-24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сборах начисляются страховые взносы) следующие сведения: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дату приема на работу (для застрахованного лица, принятого на работу данным страхователем в течение отчетного периода) или дату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гражданско-правового характера, на вознаграждение по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периоды деятельности, включаемые в стаж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соответствующих видах работ, определяемый особыми условиями труда, работой в </w:t>
      </w:r>
      <w:r>
        <w:rPr>
          <w:rStyle w:val="cat-Addressgrp-4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право застрахованного лица на досрочное назначение страховой пенсии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старости.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409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25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неполном объеме или в искаженном виде,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привлекаемой о добросовестной неосведомленности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направлении административным органом уведомления о необходимости устранения расхождений отклоняется как несоответствующий материалам дела на основании следующего.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Style w:val="cat-Dategrp-23rplc-4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страхователем сведениях ошибок и (или) несоответствий между представленными сведениями и сведениями, имеющимися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Пенсионного фонда Российской Федерации,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 заказного письма.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15 </w:t>
      </w:r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ПФР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6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178п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обнаружении в представленных страхователем индивидуальных сведениях ошибок и (или) их несоответствия индивидуальным сведениям, имеющимся у Пенсионного фонда Российской Федерации, а также несоответствия их требованиям, установленным законодательством Российской Федерации, страхователю направляется уведомление об устранении ошибок и (или) несоответствий между представленными страхователем сведениями и сведениями, имеющимися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Пенсионного фонда Российской Федерации, для исправления в течение пяти рабочих дней имеющихся расхождений.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выписке из ЕГРЮЛ от </w:t>
      </w:r>
      <w:r>
        <w:rPr>
          <w:rStyle w:val="cat-Dategrp-27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48rplc-4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(сокращенно – </w:t>
      </w:r>
      <w:r>
        <w:rPr>
          <w:rStyle w:val="cat-OrganizationNamegrp-47rplc-4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юридическое лицо располагается по адресу: </w:t>
      </w:r>
      <w:r>
        <w:rPr>
          <w:rStyle w:val="cat-Addressgrp-5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Style w:val="cat-Dategrp-28rplc-4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027-020-</w:t>
      </w:r>
      <w:r>
        <w:rPr>
          <w:rStyle w:val="cat-PhoneNumbergrp-49rplc-5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шибок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несоответствий между представленными страхователем сведениями и сведениями, имеющимися у Социального фонда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также - Уведомление)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 (ШПИ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80103286957023) направлено </w:t>
      </w:r>
      <w:r>
        <w:rPr>
          <w:rStyle w:val="cat-OrganizationNamegrp-47rplc-5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Addressgrp-6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ФГУП Почта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отслеживании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почтовым идентификатором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80103286957023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9rplc-5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 прибыло в место вручения и после неудачной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попытки вручения </w:t>
      </w:r>
      <w:r>
        <w:rPr>
          <w:rStyle w:val="cat-Dategrp-30rplc-5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указанное почтовое отправление возвращено отправителю из-за истечения срока хранения.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не оспаривается факт выполнения ею обязанностей конкурсного управляющего </w:t>
      </w:r>
      <w:r>
        <w:rPr>
          <w:rStyle w:val="cat-OrganizationNamegrp-47rplc-5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дату совершения вменяемого административного правонарушения (</w:t>
      </w:r>
      <w:r>
        <w:rPr>
          <w:rStyle w:val="cat-Dategrp-31rplc-5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равно как не оспаривается и факт не направления уточненных сведений в установленный в Уведомлении срок (по </w:t>
      </w:r>
      <w:r>
        <w:rPr>
          <w:rStyle w:val="cat-Dategrp-32rplc-5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требования, 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Style w:val="cat-Dategrp-23rplc-5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направлении его в адрес юридического лица административным органом н</w:t>
      </w:r>
      <w:r>
        <w:rPr>
          <w:rFonts w:ascii="Times New Roman" w:eastAsia="Times New Roman" w:hAnsi="Times New Roman" w:cs="Times New Roman"/>
          <w:sz w:val="28"/>
          <w:szCs w:val="28"/>
        </w:rPr>
        <w:t>е нарушены,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необходимые условия для реализации права лица, привлекаемого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устранение выявленных расхождений в установленный законом срок </w:t>
      </w:r>
      <w:r>
        <w:rPr>
          <w:rFonts w:ascii="Times New Roman" w:eastAsia="Times New Roman" w:hAnsi="Times New Roman" w:cs="Times New Roman"/>
          <w:sz w:val="28"/>
          <w:szCs w:val="28"/>
        </w:rPr>
        <w:t>созданы.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Тот факт, что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eastAsia="Times New Roman" w:hAnsi="Times New Roman" w:cs="Times New Roman"/>
          <w:sz w:val="28"/>
          <w:szCs w:val="28"/>
        </w:rPr>
        <w:t>не принял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надлежащих и достаточных мер к получению корреспонденции, направленной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юридическому адресу </w:t>
      </w:r>
      <w:r>
        <w:rPr>
          <w:rStyle w:val="cat-OrganizationNamegrp-47rplc-6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 свидетельствует о том, что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</w:t>
      </w:r>
      <w:r>
        <w:rPr>
          <w:rFonts w:ascii="Times New Roman" w:eastAsia="Times New Roman" w:hAnsi="Times New Roman" w:cs="Times New Roman"/>
          <w:sz w:val="28"/>
          <w:szCs w:val="28"/>
        </w:rPr>
        <w:t>сроке предоставления уточненных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неполучения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несет лицо, уклонившееся от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почтовой корреспонденции.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нарушением правил доставки почтовой корреспонденции, материалы дела не содержат.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привлекаемой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 осуществления документооборота в ином порядке законодательство не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отклоняется, как не основанный на нормах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Style w:val="cat-Dategrp-23rplc-6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возможность доведения ув</w:t>
      </w:r>
      <w:r>
        <w:rPr>
          <w:rFonts w:ascii="Times New Roman" w:eastAsia="Times New Roman" w:hAnsi="Times New Roman" w:cs="Times New Roman"/>
          <w:sz w:val="28"/>
          <w:szCs w:val="28"/>
        </w:rPr>
        <w:t>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до сведения страхователя следующими способами: </w:t>
      </w:r>
      <w:r>
        <w:rPr>
          <w:rFonts w:ascii="Times New Roman" w:eastAsia="Times New Roman" w:hAnsi="Times New Roman" w:cs="Times New Roman"/>
          <w:sz w:val="28"/>
          <w:szCs w:val="28"/>
        </w:rPr>
        <w:t>вруче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страхователю лично под расписку, 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заказным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вывод также подтверждается п. 41 Инструкции о порядке ведения индивидуального (персонифицированного) учета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зарегистрированных лицах, утвержденной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труда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33rplc-6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256н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обнаружении в представленных страхователем индивидуальных сведениях ошибок и (или) их несоответствия индивидуальным сведениям, имеющимися у Фонда, а также несоответствия их формам и форматам, установленным Фондом, страхователю вручается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в течение пяти рабочих дней имеющихся ошибок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несоответствий лично под расписку, или уведомление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или передается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по почте заказным письмом датой вручения этого уведомления считается шестой день, считая с даты отправления заказного письма.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Датой получения страхователем уведомления, 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по телекоммуникационным каналам связи, является дата, подтвержденная оператором электронного документооборота или территориальным органом Фонда.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Датой получения страхователем уведомления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территориальных органов Фонда, переданного через личный кабинет, считается дата его размещения в личном кабинете.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страхователем индивидуальные сведения, содержащие ошибки и (или) несоответствия индивидуальным сведениям, имеющимся у Фонда, а также не соответствующие установленным формам и форматам, в индивидуальные лицевые счета застрахованных лиц не вносятся.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Страхователь в течение пяти рабочих дней со дня получения уведомления территориального органа Фонда о представлении соответствующих исправлений представляет в территориальный орган Фонда уточненные индивидуальные сведения.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соглашения между </w:t>
      </w:r>
      <w:r>
        <w:rPr>
          <w:rStyle w:val="cat-OrganizationNamegrp-47rplc-6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OrganizationNamegrp-46rplc-6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электронного документооборота, согласованного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административным органом, не лишает последний права направления уведомления,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Style w:val="cat-Dategrp-23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по почте заказным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Иное толкование могло бы повлечь вывод о невозможности вручения уведомления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лично под расписку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названного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</w:rPr>
        <w:t>, что противоречило бы смыслу правового регулирования рассматриваемых отношений.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и отягчающих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усматривает.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наказания, судом учтены характер совершенного административного правонарушения, личность виновного, его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Валерьевну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41rplc-6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Style w:val="cat-Addressgrp-7rplc-7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7rplc-7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олучатель: УФК по </w:t>
      </w:r>
      <w:r>
        <w:rPr>
          <w:rStyle w:val="cat-Addressgrp-9rplc-7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10rplc-7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</w:t>
      </w:r>
      <w:r>
        <w:rPr>
          <w:rStyle w:val="cat-Addressgrp-8rplc-7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л/с 04874Ф87010)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единого казначейского счета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чет) № 40102810245370000007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Style w:val="cat-PhoneNumbergrp-50rplc-7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</w:t>
      </w:r>
      <w:r>
        <w:rPr>
          <w:rStyle w:val="cat-PhoneNumbergrp-51rplc-7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ОКТМО </w:t>
      </w:r>
      <w:r>
        <w:rPr>
          <w:rStyle w:val="cat-PhoneNumbergrp-52rplc-7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12rplc-7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PhoneNumbergrp-53rplc-7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11rplc-8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счет получателя платежа (номер казначейского счета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/счет) 031006430000000018700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79711601230060001140 - уплата штрафа по административному правонарушению, предусмотренному ч. 1 ст. 15.33.2 КоАП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 7</w:t>
      </w:r>
      <w:r>
        <w:rPr>
          <w:rFonts w:ascii="Times New Roman" w:eastAsia="Times New Roman" w:hAnsi="Times New Roman" w:cs="Times New Roman"/>
          <w:sz w:val="28"/>
          <w:szCs w:val="28"/>
        </w:rPr>
        <w:t>9702700000000033196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3rplc-8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0rplc-8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срок до пятидесяти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4rplc-85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окумент </w:t>
      </w:r>
      <w:r>
        <w:rPr>
          <w:rFonts w:ascii="Times New Roman" w:eastAsia="Times New Roman" w:hAnsi="Times New Roman" w:cs="Times New Roman"/>
          <w:sz w:val="20"/>
          <w:szCs w:val="20"/>
        </w:rPr>
        <w:t>в деле № 5-60</w:t>
      </w:r>
      <w:r>
        <w:rPr>
          <w:rFonts w:ascii="Times New Roman" w:eastAsia="Times New Roman" w:hAnsi="Times New Roman" w:cs="Times New Roman"/>
          <w:sz w:val="20"/>
          <w:szCs w:val="20"/>
        </w:rPr>
        <w:t>-2611/202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7871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14rplc-1">
    <w:name w:val="cat-Date grp-1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57rplc-9">
    <w:name w:val="cat-UserDefined grp-57 rplc-9"/>
    <w:basedOn w:val="DefaultParagraphFont"/>
  </w:style>
  <w:style w:type="character" w:customStyle="1" w:styleId="cat-OrganizationNamegrp-44rplc-16">
    <w:name w:val="cat-OrganizationName grp-44 rplc-16"/>
    <w:basedOn w:val="DefaultParagraphFont"/>
  </w:style>
  <w:style w:type="character" w:customStyle="1" w:styleId="cat-Dategrp-15rplc-17">
    <w:name w:val="cat-Date grp-15 rplc-17"/>
    <w:basedOn w:val="DefaultParagraphFont"/>
  </w:style>
  <w:style w:type="character" w:customStyle="1" w:styleId="cat-Dategrp-16rplc-18">
    <w:name w:val="cat-Date grp-16 rplc-18"/>
    <w:basedOn w:val="DefaultParagraphFont"/>
  </w:style>
  <w:style w:type="character" w:customStyle="1" w:styleId="cat-Dategrp-17rplc-19">
    <w:name w:val="cat-Date grp-17 rplc-19"/>
    <w:basedOn w:val="DefaultParagraphFont"/>
  </w:style>
  <w:style w:type="character" w:customStyle="1" w:styleId="cat-Dategrp-18rplc-20">
    <w:name w:val="cat-Date grp-18 rplc-20"/>
    <w:basedOn w:val="DefaultParagraphFont"/>
  </w:style>
  <w:style w:type="character" w:customStyle="1" w:styleId="cat-Dategrp-19rplc-22">
    <w:name w:val="cat-Date grp-19 rplc-22"/>
    <w:basedOn w:val="DefaultParagraphFont"/>
  </w:style>
  <w:style w:type="character" w:customStyle="1" w:styleId="cat-OrganizationNamegrp-45rplc-23">
    <w:name w:val="cat-OrganizationName grp-45 rplc-23"/>
    <w:basedOn w:val="DefaultParagraphFont"/>
  </w:style>
  <w:style w:type="character" w:customStyle="1" w:styleId="cat-Dategrp-20rplc-24">
    <w:name w:val="cat-Date grp-20 rplc-24"/>
    <w:basedOn w:val="DefaultParagraphFont"/>
  </w:style>
  <w:style w:type="character" w:customStyle="1" w:styleId="cat-OrganizationNamegrp-45rplc-25">
    <w:name w:val="cat-OrganizationName grp-45 rplc-25"/>
    <w:basedOn w:val="DefaultParagraphFont"/>
  </w:style>
  <w:style w:type="character" w:customStyle="1" w:styleId="cat-Dategrp-21rplc-26">
    <w:name w:val="cat-Date grp-21 rplc-26"/>
    <w:basedOn w:val="DefaultParagraphFont"/>
  </w:style>
  <w:style w:type="character" w:customStyle="1" w:styleId="cat-Dategrp-19rplc-27">
    <w:name w:val="cat-Date grp-19 rplc-27"/>
    <w:basedOn w:val="DefaultParagraphFont"/>
  </w:style>
  <w:style w:type="character" w:customStyle="1" w:styleId="cat-OrganizationNamegrp-46rplc-28">
    <w:name w:val="cat-OrganizationName grp-46 rplc-28"/>
    <w:basedOn w:val="DefaultParagraphFont"/>
  </w:style>
  <w:style w:type="character" w:customStyle="1" w:styleId="cat-Dategrp-22rplc-29">
    <w:name w:val="cat-Date grp-22 rplc-29"/>
    <w:basedOn w:val="DefaultParagraphFont"/>
  </w:style>
  <w:style w:type="character" w:customStyle="1" w:styleId="cat-Dategrp-21rplc-30">
    <w:name w:val="cat-Date grp-21 rplc-30"/>
    <w:basedOn w:val="DefaultParagraphFont"/>
  </w:style>
  <w:style w:type="character" w:customStyle="1" w:styleId="cat-Dategrp-19rplc-31">
    <w:name w:val="cat-Date grp-19 rplc-31"/>
    <w:basedOn w:val="DefaultParagraphFont"/>
  </w:style>
  <w:style w:type="character" w:customStyle="1" w:styleId="cat-OrganizationNamegrp-46rplc-32">
    <w:name w:val="cat-OrganizationName grp-46 rplc-32"/>
    <w:basedOn w:val="DefaultParagraphFont"/>
  </w:style>
  <w:style w:type="character" w:customStyle="1" w:styleId="cat-Dategrp-22rplc-33">
    <w:name w:val="cat-Date grp-22 rplc-33"/>
    <w:basedOn w:val="DefaultParagraphFont"/>
  </w:style>
  <w:style w:type="character" w:customStyle="1" w:styleId="cat-SumInWordsgrp-40rplc-35">
    <w:name w:val="cat-SumInWords grp-40 rplc-35"/>
    <w:basedOn w:val="DefaultParagraphFont"/>
  </w:style>
  <w:style w:type="character" w:customStyle="1" w:styleId="cat-Dategrp-23rplc-36">
    <w:name w:val="cat-Date grp-23 rplc-36"/>
    <w:basedOn w:val="DefaultParagraphFont"/>
  </w:style>
  <w:style w:type="character" w:customStyle="1" w:styleId="cat-Dategrp-24rplc-37">
    <w:name w:val="cat-Date grp-24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Dategrp-25rplc-40">
    <w:name w:val="cat-Date grp-25 rplc-40"/>
    <w:basedOn w:val="DefaultParagraphFont"/>
  </w:style>
  <w:style w:type="character" w:customStyle="1" w:styleId="cat-Dategrp-23rplc-43">
    <w:name w:val="cat-Date grp-23 rplc-43"/>
    <w:basedOn w:val="DefaultParagraphFont"/>
  </w:style>
  <w:style w:type="character" w:customStyle="1" w:styleId="cat-Dategrp-26rplc-44">
    <w:name w:val="cat-Date grp-26 rplc-44"/>
    <w:basedOn w:val="DefaultParagraphFont"/>
  </w:style>
  <w:style w:type="character" w:customStyle="1" w:styleId="cat-Dategrp-27rplc-45">
    <w:name w:val="cat-Date grp-27 rplc-45"/>
    <w:basedOn w:val="DefaultParagraphFont"/>
  </w:style>
  <w:style w:type="character" w:customStyle="1" w:styleId="cat-OrganizationNamegrp-48rplc-46">
    <w:name w:val="cat-OrganizationName grp-48 rplc-46"/>
    <w:basedOn w:val="DefaultParagraphFont"/>
  </w:style>
  <w:style w:type="character" w:customStyle="1" w:styleId="cat-OrganizationNamegrp-47rplc-47">
    <w:name w:val="cat-OrganizationName grp-47 rplc-47"/>
    <w:basedOn w:val="DefaultParagraphFont"/>
  </w:style>
  <w:style w:type="character" w:customStyle="1" w:styleId="cat-Addressgrp-5rplc-48">
    <w:name w:val="cat-Address grp-5 rplc-48"/>
    <w:basedOn w:val="DefaultParagraphFont"/>
  </w:style>
  <w:style w:type="character" w:customStyle="1" w:styleId="cat-Dategrp-28rplc-49">
    <w:name w:val="cat-Date grp-28 rplc-49"/>
    <w:basedOn w:val="DefaultParagraphFont"/>
  </w:style>
  <w:style w:type="character" w:customStyle="1" w:styleId="cat-PhoneNumbergrp-49rplc-50">
    <w:name w:val="cat-PhoneNumber grp-49 rplc-50"/>
    <w:basedOn w:val="DefaultParagraphFont"/>
  </w:style>
  <w:style w:type="character" w:customStyle="1" w:styleId="cat-OrganizationNamegrp-47rplc-51">
    <w:name w:val="cat-OrganizationName grp-47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Dategrp-29rplc-53">
    <w:name w:val="cat-Date grp-29 rplc-53"/>
    <w:basedOn w:val="DefaultParagraphFont"/>
  </w:style>
  <w:style w:type="character" w:customStyle="1" w:styleId="cat-Dategrp-30rplc-54">
    <w:name w:val="cat-Date grp-30 rplc-54"/>
    <w:basedOn w:val="DefaultParagraphFont"/>
  </w:style>
  <w:style w:type="character" w:customStyle="1" w:styleId="cat-OrganizationNamegrp-47rplc-56">
    <w:name w:val="cat-OrganizationName grp-47 rplc-56"/>
    <w:basedOn w:val="DefaultParagraphFont"/>
  </w:style>
  <w:style w:type="character" w:customStyle="1" w:styleId="cat-Dategrp-31rplc-57">
    <w:name w:val="cat-Date grp-31 rplc-57"/>
    <w:basedOn w:val="DefaultParagraphFont"/>
  </w:style>
  <w:style w:type="character" w:customStyle="1" w:styleId="cat-Dategrp-32rplc-58">
    <w:name w:val="cat-Date grp-32 rplc-58"/>
    <w:basedOn w:val="DefaultParagraphFont"/>
  </w:style>
  <w:style w:type="character" w:customStyle="1" w:styleId="cat-Dategrp-23rplc-59">
    <w:name w:val="cat-Date grp-23 rplc-59"/>
    <w:basedOn w:val="DefaultParagraphFont"/>
  </w:style>
  <w:style w:type="character" w:customStyle="1" w:styleId="cat-OrganizationNamegrp-47rplc-61">
    <w:name w:val="cat-OrganizationName grp-47 rplc-61"/>
    <w:basedOn w:val="DefaultParagraphFont"/>
  </w:style>
  <w:style w:type="character" w:customStyle="1" w:styleId="cat-Dategrp-23rplc-63">
    <w:name w:val="cat-Date grp-23 rplc-63"/>
    <w:basedOn w:val="DefaultParagraphFont"/>
  </w:style>
  <w:style w:type="character" w:customStyle="1" w:styleId="cat-Dategrp-33rplc-64">
    <w:name w:val="cat-Date grp-33 rplc-64"/>
    <w:basedOn w:val="DefaultParagraphFont"/>
  </w:style>
  <w:style w:type="character" w:customStyle="1" w:styleId="cat-OrganizationNamegrp-47rplc-65">
    <w:name w:val="cat-OrganizationName grp-47 rplc-65"/>
    <w:basedOn w:val="DefaultParagraphFont"/>
  </w:style>
  <w:style w:type="character" w:customStyle="1" w:styleId="cat-OrganizationNamegrp-46rplc-66">
    <w:name w:val="cat-OrganizationName grp-46 rplc-66"/>
    <w:basedOn w:val="DefaultParagraphFont"/>
  </w:style>
  <w:style w:type="character" w:customStyle="1" w:styleId="cat-Dategrp-23rplc-67">
    <w:name w:val="cat-Date grp-23 rplc-67"/>
    <w:basedOn w:val="DefaultParagraphFont"/>
  </w:style>
  <w:style w:type="character" w:customStyle="1" w:styleId="cat-Sumgrp-41rplc-69">
    <w:name w:val="cat-Sum grp-41 rplc-69"/>
    <w:basedOn w:val="DefaultParagraphFont"/>
  </w:style>
  <w:style w:type="character" w:customStyle="1" w:styleId="cat-Addressgrp-7rplc-70">
    <w:name w:val="cat-Address grp-7 rplc-70"/>
    <w:basedOn w:val="DefaultParagraphFont"/>
  </w:style>
  <w:style w:type="character" w:customStyle="1" w:styleId="cat-Addressgrp-7rplc-71">
    <w:name w:val="cat-Address grp-7 rplc-71"/>
    <w:basedOn w:val="DefaultParagraphFont"/>
  </w:style>
  <w:style w:type="character" w:customStyle="1" w:styleId="cat-Addressgrp-9rplc-72">
    <w:name w:val="cat-Address grp-9 rplc-72"/>
    <w:basedOn w:val="DefaultParagraphFont"/>
  </w:style>
  <w:style w:type="character" w:customStyle="1" w:styleId="cat-Addressgrp-10rplc-73">
    <w:name w:val="cat-Address grp-10 rplc-73"/>
    <w:basedOn w:val="DefaultParagraphFont"/>
  </w:style>
  <w:style w:type="character" w:customStyle="1" w:styleId="cat-Addressgrp-8rplc-74">
    <w:name w:val="cat-Address grp-8 rplc-74"/>
    <w:basedOn w:val="DefaultParagraphFont"/>
  </w:style>
  <w:style w:type="character" w:customStyle="1" w:styleId="cat-PhoneNumbergrp-50rplc-75">
    <w:name w:val="cat-PhoneNumber grp-50 rplc-75"/>
    <w:basedOn w:val="DefaultParagraphFont"/>
  </w:style>
  <w:style w:type="character" w:customStyle="1" w:styleId="cat-PhoneNumbergrp-51rplc-76">
    <w:name w:val="cat-PhoneNumber grp-51 rplc-76"/>
    <w:basedOn w:val="DefaultParagraphFont"/>
  </w:style>
  <w:style w:type="character" w:customStyle="1" w:styleId="cat-PhoneNumbergrp-52rplc-77">
    <w:name w:val="cat-PhoneNumber grp-52 rplc-77"/>
    <w:basedOn w:val="DefaultParagraphFont"/>
  </w:style>
  <w:style w:type="character" w:customStyle="1" w:styleId="cat-Addressgrp-12rplc-78">
    <w:name w:val="cat-Address grp-12 rplc-78"/>
    <w:basedOn w:val="DefaultParagraphFont"/>
  </w:style>
  <w:style w:type="character" w:customStyle="1" w:styleId="cat-PhoneNumbergrp-53rplc-79">
    <w:name w:val="cat-PhoneNumber grp-53 rplc-79"/>
    <w:basedOn w:val="DefaultParagraphFont"/>
  </w:style>
  <w:style w:type="character" w:customStyle="1" w:styleId="cat-Addressgrp-11rplc-80">
    <w:name w:val="cat-Address grp-11 rplc-80"/>
    <w:basedOn w:val="DefaultParagraphFont"/>
  </w:style>
  <w:style w:type="character" w:customStyle="1" w:styleId="cat-Addressgrp-13rplc-81">
    <w:name w:val="cat-Address grp-13 rplc-81"/>
    <w:basedOn w:val="DefaultParagraphFont"/>
  </w:style>
  <w:style w:type="character" w:customStyle="1" w:styleId="cat-Addressgrp-0rplc-82">
    <w:name w:val="cat-Address grp-0 rplc-82"/>
    <w:basedOn w:val="DefaultParagraphFont"/>
  </w:style>
  <w:style w:type="character" w:customStyle="1" w:styleId="cat-Dategrp-14rplc-85">
    <w:name w:val="cat-Date grp-14 rplc-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ABDA-FF78-43AD-A74F-83D76B4BD72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